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по противодействию коррупции и урегулированию конфликта интересов в ФГУП «Крыловский государственный научный центр»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года состоялось очередное заседание комиссии по противодействию коррупции и урегулированию конфликта интересов в ФГУП «Крыловский государственный научный центр» по теме «Мероприятия, проводимые комиссией по противодействию коррупции и урегулированию конфликта интересов в ФГУП «Крыловский государственный научный центр». Работа комиссии ведётся в соответствии с Планом работы комиссии по противодействию коррупции и урегулированию конфликта интересов в ФГУП «Крыловский госуда</w:t>
      </w:r>
      <w:r>
        <w:rPr>
          <w:sz w:val="28"/>
          <w:szCs w:val="28"/>
        </w:rPr>
        <w:t>рственный научный центр» на 2023</w:t>
      </w:r>
      <w:r>
        <w:rPr>
          <w:sz w:val="28"/>
          <w:szCs w:val="28"/>
        </w:rPr>
        <w:t xml:space="preserve"> г. (далее - План), утвержденным г</w:t>
      </w:r>
      <w:r>
        <w:rPr>
          <w:sz w:val="28"/>
          <w:szCs w:val="28"/>
        </w:rPr>
        <w:t>енеральным директором 23.12.2022</w:t>
      </w:r>
      <w:r>
        <w:rPr>
          <w:sz w:val="28"/>
          <w:szCs w:val="28"/>
        </w:rPr>
        <w:t xml:space="preserve"> и опубликов</w:t>
      </w:r>
      <w:bookmarkStart w:id="0" w:name="_GoBack"/>
      <w:bookmarkEnd w:id="0"/>
      <w:r>
        <w:rPr>
          <w:sz w:val="28"/>
          <w:szCs w:val="28"/>
        </w:rPr>
        <w:t>анным на официальном сайте Предприятия в разделе «Противодействие коррупции».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заседании были рассмотрены </w:t>
      </w:r>
      <w:r>
        <w:rPr>
          <w:rFonts w:eastAsia="Calibri"/>
          <w:sz w:val="28"/>
          <w:szCs w:val="28"/>
          <w:lang w:eastAsia="en-US"/>
        </w:rPr>
        <w:t>итоги работы комиссии за 1 квартал 2023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770818" w:rsidRDefault="00770818" w:rsidP="00770818">
      <w:pPr>
        <w:tabs>
          <w:tab w:val="left" w:pos="56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принятым решением членов Комиссии </w:t>
      </w:r>
      <w:r>
        <w:rPr>
          <w:sz w:val="28"/>
          <w:szCs w:val="28"/>
        </w:rPr>
        <w:t>работу комиссии за 1</w:t>
      </w:r>
      <w:r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признать удовлетворительной.</w:t>
      </w:r>
    </w:p>
    <w:p w:rsidR="00770818" w:rsidRDefault="00770818" w:rsidP="00770818">
      <w:pPr>
        <w:tabs>
          <w:tab w:val="left" w:pos="426"/>
          <w:tab w:val="left" w:pos="1134"/>
        </w:tabs>
        <w:ind w:left="709" w:hanging="352"/>
        <w:jc w:val="both"/>
        <w:rPr>
          <w:sz w:val="28"/>
          <w:szCs w:val="28"/>
        </w:rPr>
      </w:pPr>
    </w:p>
    <w:p w:rsidR="00770818" w:rsidRDefault="00770818" w:rsidP="00770818">
      <w:pPr>
        <w:spacing w:line="360" w:lineRule="auto"/>
        <w:jc w:val="both"/>
        <w:rPr>
          <w:sz w:val="28"/>
          <w:szCs w:val="28"/>
        </w:rPr>
      </w:pPr>
    </w:p>
    <w:p w:rsidR="00770818" w:rsidRDefault="00770818" w:rsidP="00770818">
      <w:pPr>
        <w:spacing w:line="264" w:lineRule="auto"/>
        <w:jc w:val="both"/>
        <w:rPr>
          <w:sz w:val="28"/>
          <w:szCs w:val="28"/>
        </w:rPr>
      </w:pPr>
    </w:p>
    <w:p w:rsidR="0031571F" w:rsidRDefault="0031571F" w:rsidP="00770818">
      <w:pPr>
        <w:jc w:val="both"/>
      </w:pPr>
    </w:p>
    <w:sectPr w:rsidR="003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74"/>
    <w:rsid w:val="0031571F"/>
    <w:rsid w:val="00770818"/>
    <w:rsid w:val="007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F4A-4483-4B04-9D42-A74F910E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Лариса Анатольевна</dc:creator>
  <cp:keywords/>
  <dc:description/>
  <cp:lastModifiedBy>Соловьева Лариса Анатольевна</cp:lastModifiedBy>
  <cp:revision>2</cp:revision>
  <dcterms:created xsi:type="dcterms:W3CDTF">2023-06-22T10:45:00Z</dcterms:created>
  <dcterms:modified xsi:type="dcterms:W3CDTF">2023-06-22T10:53:00Z</dcterms:modified>
</cp:coreProperties>
</file>